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AC2C7E" w:rsidRPr="00AC2C7E" w:rsidRDefault="00AC2C7E" w:rsidP="00AC2C7E">
      <w:pPr>
        <w:tabs>
          <w:tab w:val="left" w:pos="2880"/>
        </w:tabs>
        <w:spacing w:after="0" w:line="240" w:lineRule="auto"/>
        <w:jc w:val="both"/>
        <w:rPr>
          <w:rFonts w:ascii="Cambria" w:eastAsia="Times New Roman" w:hAnsi="Cambria" w:cs="Times New Roman"/>
          <w:sz w:val="44"/>
          <w:szCs w:val="44"/>
          <w:lang w:eastAsia="es-ES"/>
        </w:rPr>
      </w:pPr>
      <w:bookmarkStart w:id="0" w:name="_Toc270347142"/>
      <w:bookmarkStart w:id="1" w:name="_GoBack"/>
      <w:bookmarkEnd w:id="1"/>
      <w:r w:rsidRPr="00AC2C7E">
        <w:rPr>
          <w:rFonts w:ascii="Cambria" w:eastAsia="Times New Roman" w:hAnsi="Cambria" w:cs="Times New Roman"/>
          <w:sz w:val="44"/>
          <w:szCs w:val="44"/>
          <w:lang w:eastAsia="es-ES"/>
        </w:rPr>
        <w:t>FORMATO A</w:t>
      </w:r>
    </w:p>
    <w:p w:rsidR="00AC2C7E" w:rsidRPr="00AC2C7E" w:rsidRDefault="00AC2C7E" w:rsidP="00AC2C7E">
      <w:pPr>
        <w:pBdr>
          <w:bottom w:val="single" w:sz="8" w:space="4" w:color="4F81BD"/>
        </w:pBdr>
        <w:spacing w:after="300" w:line="240" w:lineRule="auto"/>
        <w:contextualSpacing/>
        <w:rPr>
          <w:rFonts w:ascii="Calibri" w:eastAsia="Times New Roman" w:hAnsi="Calibri" w:cs="Times New Roman"/>
          <w:spacing w:val="5"/>
          <w:kern w:val="28"/>
          <w:sz w:val="44"/>
          <w:szCs w:val="44"/>
          <w:lang w:eastAsia="x-none"/>
        </w:rPr>
      </w:pPr>
      <w:r w:rsidRPr="00AC2C7E">
        <w:rPr>
          <w:rFonts w:ascii="Calibri" w:eastAsia="Times New Roman" w:hAnsi="Calibri" w:cs="Times New Roman"/>
          <w:spacing w:val="5"/>
          <w:kern w:val="28"/>
          <w:sz w:val="44"/>
          <w:szCs w:val="44"/>
          <w:lang w:eastAsia="x-none"/>
        </w:rPr>
        <w:t>PROGRAMA ANUAL DE TRABAJO.               CICLO ESCOLAR 2012-2013</w:t>
      </w:r>
    </w:p>
    <w:tbl>
      <w:tblPr>
        <w:tblW w:w="133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72"/>
        <w:gridCol w:w="4630"/>
        <w:gridCol w:w="1842"/>
        <w:gridCol w:w="2363"/>
        <w:gridCol w:w="1902"/>
      </w:tblGrid>
      <w:tr w:rsidR="00AC2C7E" w:rsidRPr="00AC2C7E" w:rsidTr="00673060">
        <w:trPr>
          <w:trHeight w:val="454"/>
        </w:trPr>
        <w:tc>
          <w:tcPr>
            <w:tcW w:w="13309" w:type="dxa"/>
            <w:gridSpan w:val="5"/>
            <w:shd w:val="solid" w:color="000080" w:fill="FFFFFF"/>
            <w:vAlign w:val="center"/>
          </w:tcPr>
          <w:p w:rsidR="00AC2C7E" w:rsidRPr="00AC2C7E" w:rsidRDefault="00AC2C7E" w:rsidP="00AC2C7E">
            <w:pPr>
              <w:spacing w:after="0" w:line="240" w:lineRule="auto"/>
              <w:jc w:val="center"/>
              <w:rPr>
                <w:rFonts w:ascii="Arial" w:eastAsia="Times New Roman" w:hAnsi="Arial" w:cs="Arial"/>
                <w:spacing w:val="60"/>
                <w:sz w:val="24"/>
                <w:szCs w:val="20"/>
                <w:lang w:eastAsia="es-MX"/>
              </w:rPr>
            </w:pPr>
          </w:p>
          <w:p w:rsidR="00AC2C7E" w:rsidRPr="00AC2C7E" w:rsidRDefault="00AC2C7E" w:rsidP="00AC2C7E">
            <w:pPr>
              <w:spacing w:after="0" w:line="240" w:lineRule="auto"/>
              <w:jc w:val="center"/>
              <w:rPr>
                <w:rFonts w:ascii="Arial" w:eastAsia="Times New Roman" w:hAnsi="Arial" w:cs="Arial"/>
                <w:spacing w:val="60"/>
                <w:sz w:val="24"/>
                <w:szCs w:val="20"/>
                <w:lang w:eastAsia="es-MX"/>
              </w:rPr>
            </w:pPr>
            <w:r w:rsidRPr="00AC2C7E">
              <w:rPr>
                <w:rFonts w:ascii="Arial" w:eastAsia="Times New Roman" w:hAnsi="Arial" w:cs="Arial"/>
                <w:spacing w:val="60"/>
                <w:sz w:val="24"/>
                <w:szCs w:val="20"/>
                <w:lang w:eastAsia="es-MX"/>
              </w:rPr>
              <w:t>DIMENSIÓN PEDAGÓGICA CURRICULAR</w:t>
            </w:r>
          </w:p>
          <w:p w:rsidR="00AC2C7E" w:rsidRPr="00AC2C7E" w:rsidRDefault="00AC2C7E" w:rsidP="00AC2C7E">
            <w:pPr>
              <w:spacing w:after="0" w:line="240" w:lineRule="auto"/>
              <w:jc w:val="center"/>
              <w:rPr>
                <w:rFonts w:ascii="Arial" w:eastAsia="Times New Roman" w:hAnsi="Arial" w:cs="Arial"/>
                <w:b/>
                <w:bCs/>
                <w:spacing w:val="60"/>
                <w:sz w:val="24"/>
                <w:lang w:eastAsia="es-ES"/>
              </w:rPr>
            </w:pPr>
          </w:p>
        </w:tc>
      </w:tr>
      <w:tr w:rsidR="00AC2C7E" w:rsidRPr="00AC2C7E" w:rsidTr="00673060">
        <w:trPr>
          <w:trHeight w:val="567"/>
        </w:trPr>
        <w:tc>
          <w:tcPr>
            <w:tcW w:w="2572" w:type="dxa"/>
            <w:shd w:val="clear" w:color="auto" w:fill="C6D9F1"/>
            <w:vAlign w:val="center"/>
          </w:tcPr>
          <w:p w:rsidR="00AC2C7E" w:rsidRPr="00AC2C7E" w:rsidRDefault="00AC2C7E" w:rsidP="00AC2C7E">
            <w:pPr>
              <w:spacing w:after="0" w:line="240" w:lineRule="auto"/>
              <w:jc w:val="right"/>
              <w:rPr>
                <w:rFonts w:ascii="Arial" w:eastAsia="Times New Roman" w:hAnsi="Arial" w:cs="Arial"/>
                <w:b/>
                <w:bCs/>
                <w:spacing w:val="60"/>
                <w:sz w:val="24"/>
                <w:lang w:eastAsia="es-ES"/>
              </w:rPr>
            </w:pPr>
            <w:r w:rsidRPr="00AC2C7E">
              <w:rPr>
                <w:rFonts w:ascii="Arial" w:eastAsia="Times New Roman" w:hAnsi="Arial" w:cs="Arial"/>
                <w:b/>
                <w:bCs/>
                <w:spacing w:val="60"/>
                <w:sz w:val="24"/>
                <w:lang w:eastAsia="es-ES"/>
              </w:rPr>
              <w:t>Objetivo:</w:t>
            </w:r>
          </w:p>
        </w:tc>
        <w:tc>
          <w:tcPr>
            <w:tcW w:w="10737" w:type="dxa"/>
            <w:gridSpan w:val="4"/>
            <w:shd w:val="clear" w:color="auto" w:fill="auto"/>
            <w:vAlign w:val="center"/>
          </w:tcPr>
          <w:p w:rsidR="0047074D" w:rsidRDefault="0047074D" w:rsidP="00AC2C7E">
            <w:pPr>
              <w:spacing w:after="0" w:line="240" w:lineRule="auto"/>
              <w:jc w:val="both"/>
              <w:rPr>
                <w:rFonts w:ascii="Cambria" w:eastAsia="Times New Roman" w:hAnsi="Cambria" w:cs="Arial"/>
                <w:b/>
                <w:i/>
                <w:sz w:val="24"/>
                <w:szCs w:val="24"/>
                <w:lang w:eastAsia="es-ES"/>
              </w:rPr>
            </w:pPr>
          </w:p>
          <w:p w:rsidR="00AC2C7E" w:rsidRPr="00AC2C7E" w:rsidRDefault="00AC2C7E" w:rsidP="00AC2C7E">
            <w:pPr>
              <w:spacing w:after="0" w:line="240" w:lineRule="auto"/>
              <w:jc w:val="both"/>
              <w:rPr>
                <w:rFonts w:ascii="Cambria" w:eastAsia="Times New Roman" w:hAnsi="Cambria" w:cs="Arial"/>
                <w:b/>
                <w:i/>
                <w:sz w:val="24"/>
                <w:szCs w:val="24"/>
                <w:lang w:eastAsia="es-ES"/>
              </w:rPr>
            </w:pPr>
            <w:r w:rsidRPr="00AC2C7E">
              <w:rPr>
                <w:rFonts w:ascii="Cambria" w:eastAsia="Times New Roman" w:hAnsi="Cambria" w:cs="Arial"/>
                <w:b/>
                <w:i/>
                <w:sz w:val="24"/>
                <w:szCs w:val="24"/>
                <w:lang w:eastAsia="es-ES"/>
              </w:rPr>
              <w:t xml:space="preserve">Elaborar y aplicar una planeación didáctica curricular que favorezca el logro de los estándares educativos, para desarrollar competencias para la vida en los estudiantes, que les permita un desempeño </w:t>
            </w:r>
            <w:proofErr w:type="spellStart"/>
            <w:r w:rsidRPr="00AC2C7E">
              <w:rPr>
                <w:rFonts w:ascii="Cambria" w:eastAsia="Times New Roman" w:hAnsi="Cambria" w:cs="Arial"/>
                <w:b/>
                <w:i/>
                <w:sz w:val="24"/>
                <w:szCs w:val="24"/>
                <w:lang w:eastAsia="es-ES"/>
              </w:rPr>
              <w:t>polifuncional</w:t>
            </w:r>
            <w:proofErr w:type="spellEnd"/>
            <w:r w:rsidRPr="00AC2C7E">
              <w:rPr>
                <w:rFonts w:ascii="Cambria" w:eastAsia="Times New Roman" w:hAnsi="Cambria" w:cs="Arial"/>
                <w:b/>
                <w:i/>
                <w:sz w:val="24"/>
                <w:szCs w:val="24"/>
                <w:lang w:eastAsia="es-ES"/>
              </w:rPr>
              <w:t xml:space="preserve"> en múltiples  situaciones de su vida basados en valores.</w:t>
            </w:r>
          </w:p>
          <w:p w:rsidR="00AC2C7E" w:rsidRPr="00AC2C7E" w:rsidRDefault="00AC2C7E" w:rsidP="00AC2C7E">
            <w:pPr>
              <w:spacing w:after="0" w:line="240" w:lineRule="auto"/>
              <w:jc w:val="both"/>
              <w:rPr>
                <w:rFonts w:ascii="Arial" w:eastAsia="Times New Roman" w:hAnsi="Arial" w:cs="Arial"/>
                <w:bCs/>
                <w:lang w:eastAsia="es-ES"/>
              </w:rPr>
            </w:pPr>
          </w:p>
        </w:tc>
      </w:tr>
      <w:tr w:rsidR="00AC2C7E" w:rsidRPr="00AC2C7E" w:rsidTr="00673060">
        <w:trPr>
          <w:trHeight w:val="567"/>
        </w:trPr>
        <w:tc>
          <w:tcPr>
            <w:tcW w:w="2572" w:type="dxa"/>
            <w:shd w:val="clear" w:color="auto" w:fill="F2DBDB"/>
            <w:vAlign w:val="center"/>
          </w:tcPr>
          <w:p w:rsidR="00AC2C7E" w:rsidRPr="00AC2C7E" w:rsidRDefault="00AC2C7E" w:rsidP="00AC2C7E">
            <w:pPr>
              <w:spacing w:after="0" w:line="240" w:lineRule="auto"/>
              <w:jc w:val="right"/>
              <w:rPr>
                <w:rFonts w:ascii="Arial" w:eastAsia="Times New Roman" w:hAnsi="Arial" w:cs="Arial"/>
                <w:b/>
                <w:bCs/>
                <w:spacing w:val="60"/>
                <w:sz w:val="24"/>
                <w:lang w:eastAsia="es-ES"/>
              </w:rPr>
            </w:pPr>
            <w:r w:rsidRPr="00AC2C7E">
              <w:rPr>
                <w:rFonts w:ascii="Arial" w:eastAsia="Times New Roman" w:hAnsi="Arial" w:cs="Arial"/>
                <w:b/>
                <w:bCs/>
                <w:spacing w:val="60"/>
                <w:sz w:val="24"/>
                <w:lang w:eastAsia="es-ES"/>
              </w:rPr>
              <w:t>Estrategias:</w:t>
            </w:r>
          </w:p>
        </w:tc>
        <w:tc>
          <w:tcPr>
            <w:tcW w:w="10737" w:type="dxa"/>
            <w:gridSpan w:val="4"/>
            <w:shd w:val="clear" w:color="auto" w:fill="auto"/>
            <w:vAlign w:val="center"/>
          </w:tcPr>
          <w:p w:rsidR="0047074D" w:rsidRDefault="0047074D" w:rsidP="0047074D">
            <w:pPr>
              <w:spacing w:after="0" w:line="240" w:lineRule="auto"/>
              <w:jc w:val="both"/>
              <w:rPr>
                <w:rFonts w:ascii="Cambria" w:eastAsia="Times New Roman" w:hAnsi="Cambria" w:cs="Arial"/>
                <w:i/>
                <w:sz w:val="24"/>
                <w:szCs w:val="24"/>
                <w:lang w:eastAsia="es-ES"/>
              </w:rPr>
            </w:pPr>
          </w:p>
          <w:p w:rsidR="00AC2C7E" w:rsidRPr="00AC2C7E" w:rsidRDefault="00AC2C7E" w:rsidP="00AC2C7E">
            <w:pPr>
              <w:numPr>
                <w:ilvl w:val="0"/>
                <w:numId w:val="1"/>
              </w:numPr>
              <w:spacing w:after="0" w:line="240" w:lineRule="auto"/>
              <w:jc w:val="both"/>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Formación continúa profesional.</w:t>
            </w:r>
          </w:p>
          <w:p w:rsidR="00AC2C7E" w:rsidRPr="00AC2C7E" w:rsidRDefault="00AC2C7E" w:rsidP="00AC2C7E">
            <w:pPr>
              <w:numPr>
                <w:ilvl w:val="0"/>
                <w:numId w:val="1"/>
              </w:numPr>
              <w:spacing w:after="0" w:line="240" w:lineRule="auto"/>
              <w:jc w:val="both"/>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Intercambio de observaciones y comentarios de los logros y obstáculos que presenta el desarrollo de la planeación didáctica.</w:t>
            </w:r>
          </w:p>
          <w:p w:rsidR="00AC2C7E" w:rsidRPr="00AC2C7E" w:rsidRDefault="00AC2C7E" w:rsidP="00AC2C7E">
            <w:pPr>
              <w:numPr>
                <w:ilvl w:val="0"/>
                <w:numId w:val="1"/>
              </w:numPr>
              <w:spacing w:after="0" w:line="240" w:lineRule="auto"/>
              <w:jc w:val="both"/>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La planeación por método de proyectos y proyectos didácticos.</w:t>
            </w:r>
          </w:p>
          <w:p w:rsidR="00AC2C7E" w:rsidRPr="00AC2C7E" w:rsidRDefault="00AC2C7E" w:rsidP="00AC2C7E">
            <w:pPr>
              <w:numPr>
                <w:ilvl w:val="0"/>
                <w:numId w:val="2"/>
              </w:numPr>
              <w:spacing w:after="0" w:line="240" w:lineRule="auto"/>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 xml:space="preserve">Estrategias didácticas para fomentar los valores: conferencias, dilemas morales, etc. </w:t>
            </w:r>
          </w:p>
          <w:p w:rsidR="00AC2C7E" w:rsidRPr="00AC2C7E" w:rsidRDefault="00AC2C7E" w:rsidP="00AC2C7E">
            <w:pPr>
              <w:numPr>
                <w:ilvl w:val="0"/>
                <w:numId w:val="2"/>
              </w:numPr>
              <w:spacing w:after="0" w:line="240" w:lineRule="auto"/>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La formación de lectores.</w:t>
            </w:r>
          </w:p>
          <w:p w:rsidR="00AC2C7E" w:rsidRDefault="00AC2C7E" w:rsidP="00AC2C7E">
            <w:pPr>
              <w:numPr>
                <w:ilvl w:val="0"/>
                <w:numId w:val="2"/>
              </w:numPr>
              <w:spacing w:after="0" w:line="240" w:lineRule="auto"/>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 xml:space="preserve">El uso de las </w:t>
            </w:r>
            <w:proofErr w:type="spellStart"/>
            <w:r w:rsidRPr="00AC2C7E">
              <w:rPr>
                <w:rFonts w:ascii="Cambria" w:eastAsia="Times New Roman" w:hAnsi="Cambria" w:cs="Arial"/>
                <w:i/>
                <w:sz w:val="24"/>
                <w:szCs w:val="24"/>
                <w:lang w:eastAsia="es-ES"/>
              </w:rPr>
              <w:t>TIC´s</w:t>
            </w:r>
            <w:proofErr w:type="spellEnd"/>
          </w:p>
          <w:p w:rsidR="0047074D" w:rsidRPr="00AC2C7E" w:rsidRDefault="0047074D" w:rsidP="0047074D">
            <w:pPr>
              <w:spacing w:after="0" w:line="240" w:lineRule="auto"/>
              <w:rPr>
                <w:rFonts w:ascii="Cambria" w:eastAsia="Times New Roman" w:hAnsi="Cambria" w:cs="Arial"/>
                <w:i/>
                <w:sz w:val="24"/>
                <w:szCs w:val="24"/>
                <w:lang w:eastAsia="es-ES"/>
              </w:rPr>
            </w:pPr>
          </w:p>
        </w:tc>
      </w:tr>
      <w:tr w:rsidR="00AC2C7E" w:rsidRPr="00AC2C7E" w:rsidTr="00673060">
        <w:trPr>
          <w:trHeight w:val="567"/>
        </w:trPr>
        <w:tc>
          <w:tcPr>
            <w:tcW w:w="2572" w:type="dxa"/>
            <w:shd w:val="clear" w:color="auto" w:fill="EAF1DD"/>
            <w:vAlign w:val="center"/>
          </w:tcPr>
          <w:p w:rsidR="00AC2C7E" w:rsidRPr="00AC2C7E" w:rsidRDefault="00AC2C7E" w:rsidP="00AC2C7E">
            <w:pPr>
              <w:spacing w:after="0" w:line="240" w:lineRule="auto"/>
              <w:jc w:val="center"/>
              <w:rPr>
                <w:rFonts w:ascii="Arial" w:eastAsia="Times New Roman" w:hAnsi="Arial" w:cs="Arial"/>
                <w:b/>
                <w:bCs/>
                <w:spacing w:val="60"/>
                <w:sz w:val="20"/>
                <w:lang w:eastAsia="es-ES"/>
              </w:rPr>
            </w:pPr>
            <w:r w:rsidRPr="00AC2C7E">
              <w:rPr>
                <w:rFonts w:ascii="Arial" w:eastAsia="Times New Roman" w:hAnsi="Arial" w:cs="Arial"/>
                <w:b/>
                <w:bCs/>
                <w:spacing w:val="60"/>
                <w:sz w:val="20"/>
                <w:lang w:eastAsia="es-ES"/>
              </w:rPr>
              <w:t>METAS</w:t>
            </w:r>
          </w:p>
        </w:tc>
        <w:tc>
          <w:tcPr>
            <w:tcW w:w="4630" w:type="dxa"/>
            <w:shd w:val="clear" w:color="auto" w:fill="EAF1DD"/>
            <w:vAlign w:val="center"/>
          </w:tcPr>
          <w:p w:rsidR="00AC2C7E" w:rsidRPr="00AC2C7E" w:rsidRDefault="00AC2C7E" w:rsidP="00AC2C7E">
            <w:pPr>
              <w:spacing w:after="0" w:line="240" w:lineRule="auto"/>
              <w:jc w:val="center"/>
              <w:rPr>
                <w:rFonts w:ascii="Arial" w:eastAsia="Times New Roman" w:hAnsi="Arial" w:cs="Arial"/>
                <w:b/>
                <w:bCs/>
                <w:spacing w:val="60"/>
                <w:sz w:val="20"/>
                <w:lang w:eastAsia="es-ES"/>
              </w:rPr>
            </w:pPr>
            <w:r w:rsidRPr="00AC2C7E">
              <w:rPr>
                <w:rFonts w:ascii="Arial" w:eastAsia="Times New Roman" w:hAnsi="Arial" w:cs="Arial"/>
                <w:b/>
                <w:bCs/>
                <w:spacing w:val="60"/>
                <w:sz w:val="20"/>
                <w:lang w:eastAsia="es-ES"/>
              </w:rPr>
              <w:t>ACTIVIDADES</w:t>
            </w:r>
          </w:p>
        </w:tc>
        <w:tc>
          <w:tcPr>
            <w:tcW w:w="1842" w:type="dxa"/>
            <w:shd w:val="clear" w:color="auto" w:fill="EAF1DD"/>
            <w:vAlign w:val="center"/>
          </w:tcPr>
          <w:p w:rsidR="00AC2C7E" w:rsidRPr="00AC2C7E" w:rsidRDefault="00AC2C7E" w:rsidP="00AC2C7E">
            <w:pPr>
              <w:spacing w:after="0" w:line="240" w:lineRule="auto"/>
              <w:jc w:val="center"/>
              <w:rPr>
                <w:rFonts w:ascii="Arial" w:eastAsia="Times New Roman" w:hAnsi="Arial" w:cs="Arial"/>
                <w:b/>
                <w:bCs/>
                <w:sz w:val="20"/>
                <w:lang w:eastAsia="es-ES"/>
              </w:rPr>
            </w:pPr>
            <w:r w:rsidRPr="00AC2C7E">
              <w:rPr>
                <w:rFonts w:ascii="Arial" w:eastAsia="Times New Roman" w:hAnsi="Arial" w:cs="Arial"/>
                <w:b/>
                <w:bCs/>
                <w:sz w:val="20"/>
                <w:lang w:eastAsia="es-ES"/>
              </w:rPr>
              <w:t>PERIODO DE REALIZACIÓN</w:t>
            </w:r>
          </w:p>
        </w:tc>
        <w:tc>
          <w:tcPr>
            <w:tcW w:w="2363" w:type="dxa"/>
            <w:shd w:val="clear" w:color="auto" w:fill="EAF1DD"/>
            <w:vAlign w:val="center"/>
          </w:tcPr>
          <w:p w:rsidR="00AC2C7E" w:rsidRPr="00AC2C7E" w:rsidRDefault="00AC2C7E" w:rsidP="00AC2C7E">
            <w:pPr>
              <w:spacing w:after="0" w:line="240" w:lineRule="auto"/>
              <w:jc w:val="center"/>
              <w:rPr>
                <w:rFonts w:ascii="Arial" w:eastAsia="Times New Roman" w:hAnsi="Arial" w:cs="Arial"/>
                <w:b/>
                <w:bCs/>
                <w:sz w:val="20"/>
                <w:lang w:eastAsia="es-ES"/>
              </w:rPr>
            </w:pPr>
            <w:r w:rsidRPr="00AC2C7E">
              <w:rPr>
                <w:rFonts w:ascii="Arial" w:eastAsia="Times New Roman" w:hAnsi="Arial" w:cs="Arial"/>
                <w:b/>
                <w:bCs/>
                <w:sz w:val="20"/>
                <w:lang w:eastAsia="es-ES"/>
              </w:rPr>
              <w:t>RESPONSABLE</w:t>
            </w:r>
          </w:p>
          <w:p w:rsidR="00AC2C7E" w:rsidRPr="00AC2C7E" w:rsidRDefault="00AC2C7E" w:rsidP="00AC2C7E">
            <w:pPr>
              <w:spacing w:after="0" w:line="240" w:lineRule="auto"/>
              <w:jc w:val="center"/>
              <w:rPr>
                <w:rFonts w:ascii="Arial" w:eastAsia="Times New Roman" w:hAnsi="Arial" w:cs="Arial"/>
                <w:b/>
                <w:bCs/>
                <w:sz w:val="20"/>
                <w:lang w:eastAsia="es-ES"/>
              </w:rPr>
            </w:pPr>
            <w:r w:rsidRPr="00AC2C7E">
              <w:rPr>
                <w:rFonts w:ascii="Arial" w:eastAsia="Times New Roman" w:hAnsi="Arial" w:cs="Arial"/>
                <w:b/>
                <w:bCs/>
                <w:sz w:val="20"/>
                <w:lang w:eastAsia="es-ES"/>
              </w:rPr>
              <w:t>DE LA ACTIVIDAD</w:t>
            </w:r>
          </w:p>
        </w:tc>
        <w:tc>
          <w:tcPr>
            <w:tcW w:w="1902" w:type="dxa"/>
            <w:shd w:val="clear" w:color="auto" w:fill="EAF1DD"/>
            <w:vAlign w:val="center"/>
          </w:tcPr>
          <w:p w:rsidR="00AC2C7E" w:rsidRPr="00AC2C7E" w:rsidRDefault="00AC2C7E" w:rsidP="00AC2C7E">
            <w:pPr>
              <w:spacing w:after="0" w:line="240" w:lineRule="auto"/>
              <w:jc w:val="center"/>
              <w:rPr>
                <w:rFonts w:ascii="Arial" w:eastAsia="Times New Roman" w:hAnsi="Arial" w:cs="Arial"/>
                <w:b/>
                <w:bCs/>
                <w:sz w:val="18"/>
                <w:lang w:eastAsia="es-ES"/>
              </w:rPr>
            </w:pPr>
            <w:r w:rsidRPr="00AC2C7E">
              <w:rPr>
                <w:rFonts w:ascii="Arial" w:eastAsia="Times New Roman" w:hAnsi="Arial" w:cs="Arial"/>
                <w:b/>
                <w:bCs/>
                <w:sz w:val="18"/>
                <w:lang w:eastAsia="es-ES"/>
              </w:rPr>
              <w:t>RECURSOS  Y/O COSTOS DE LA ACCIÓN (INSTITUCIONES, PROGRAMAS, PROYECTOS)</w:t>
            </w:r>
          </w:p>
        </w:tc>
      </w:tr>
      <w:tr w:rsidR="00AC2C7E" w:rsidRPr="00AC2C7E" w:rsidTr="00673060">
        <w:trPr>
          <w:trHeight w:val="454"/>
        </w:trPr>
        <w:tc>
          <w:tcPr>
            <w:tcW w:w="2572" w:type="dxa"/>
            <w:vMerge w:val="restart"/>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lang w:eastAsia="es-MX"/>
              </w:rPr>
            </w:pPr>
            <w:r w:rsidRPr="00AC2C7E">
              <w:rPr>
                <w:rFonts w:ascii="Cambria" w:eastAsia="Times New Roman" w:hAnsi="Cambria" w:cs="Arial"/>
                <w:i/>
                <w:sz w:val="24"/>
                <w:lang w:eastAsia="es-MX"/>
              </w:rPr>
              <w:t xml:space="preserve">Implementar12 Docentes Una planeación didáctica Para favorecer el desarrollo de las </w:t>
            </w:r>
            <w:r w:rsidRPr="00AC2C7E">
              <w:rPr>
                <w:rFonts w:ascii="Cambria" w:eastAsia="Times New Roman" w:hAnsi="Cambria" w:cs="Arial"/>
                <w:i/>
                <w:sz w:val="24"/>
                <w:lang w:eastAsia="es-MX"/>
              </w:rPr>
              <w:lastRenderedPageBreak/>
              <w:t>competencias para la vida Ciclo Escolar</w:t>
            </w:r>
          </w:p>
          <w:p w:rsidR="00AC2C7E" w:rsidRPr="00AC2C7E" w:rsidRDefault="00AC2C7E" w:rsidP="00AC2C7E">
            <w:pPr>
              <w:spacing w:after="0" w:line="240" w:lineRule="auto"/>
              <w:rPr>
                <w:rFonts w:ascii="Cambria" w:eastAsia="Times New Roman" w:hAnsi="Cambria" w:cs="Arial"/>
                <w:bCs/>
                <w:i/>
                <w:sz w:val="24"/>
                <w:lang w:eastAsia="es-ES"/>
              </w:rPr>
            </w:pPr>
            <w:r w:rsidRPr="00AC2C7E">
              <w:rPr>
                <w:rFonts w:ascii="Cambria" w:eastAsia="Times New Roman" w:hAnsi="Cambria" w:cs="Arial"/>
                <w:i/>
                <w:sz w:val="24"/>
                <w:lang w:eastAsia="es-MX"/>
              </w:rPr>
              <w:t>2012</w:t>
            </w:r>
            <w:r w:rsidR="0047074D">
              <w:rPr>
                <w:rFonts w:ascii="Cambria" w:eastAsia="Times New Roman" w:hAnsi="Cambria" w:cs="Arial"/>
                <w:i/>
                <w:sz w:val="24"/>
                <w:lang w:eastAsia="es-MX"/>
              </w:rPr>
              <w:t xml:space="preserve"> – </w:t>
            </w:r>
            <w:r w:rsidRPr="00AC2C7E">
              <w:rPr>
                <w:rFonts w:ascii="Cambria" w:eastAsia="Times New Roman" w:hAnsi="Cambria" w:cs="Arial"/>
                <w:i/>
                <w:sz w:val="24"/>
                <w:lang w:eastAsia="es-MX"/>
              </w:rPr>
              <w:t>2013</w:t>
            </w:r>
            <w:r w:rsidR="0047074D">
              <w:rPr>
                <w:rFonts w:ascii="Cambria" w:eastAsia="Times New Roman" w:hAnsi="Cambria" w:cs="Arial"/>
                <w:i/>
                <w:sz w:val="24"/>
                <w:lang w:eastAsia="es-MX"/>
              </w:rPr>
              <w:t>.</w:t>
            </w: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lang w:eastAsia="es-ES"/>
              </w:rPr>
            </w:pPr>
            <w:r w:rsidRPr="00AC2C7E">
              <w:rPr>
                <w:rFonts w:ascii="Cambria" w:eastAsia="Times New Roman" w:hAnsi="Cambria" w:cs="Arial"/>
                <w:bCs/>
                <w:i/>
                <w:sz w:val="24"/>
                <w:lang w:eastAsia="es-ES"/>
              </w:rPr>
              <w:lastRenderedPageBreak/>
              <w:t>Elaboración de planeación didáctica por proyectos</w:t>
            </w: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lang w:eastAsia="es-ES"/>
              </w:rPr>
            </w:pPr>
            <w:r w:rsidRPr="00AC2C7E">
              <w:rPr>
                <w:rFonts w:ascii="Cambria" w:eastAsia="Times New Roman" w:hAnsi="Cambria" w:cs="Arial"/>
                <w:bCs/>
                <w:i/>
                <w:sz w:val="24"/>
                <w:lang w:eastAsia="es-ES"/>
              </w:rPr>
              <w:t>Cada dos o tres semanas</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lang w:eastAsia="es-ES"/>
              </w:rPr>
            </w:pPr>
            <w:r w:rsidRPr="00AC2C7E">
              <w:rPr>
                <w:rFonts w:ascii="Cambria" w:eastAsia="Times New Roman" w:hAnsi="Cambria" w:cs="Arial"/>
                <w:bCs/>
                <w:i/>
                <w:sz w:val="24"/>
                <w:lang w:eastAsia="es-ES"/>
              </w:rPr>
              <w:t>Director y Dimensión Técnico Pedagógica del Consejo Escolar</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lang w:eastAsia="es-ES"/>
              </w:rPr>
            </w:pPr>
            <w:r w:rsidRPr="00AC2C7E">
              <w:rPr>
                <w:rFonts w:ascii="Cambria" w:eastAsia="Times New Roman" w:hAnsi="Cambria" w:cs="Arial"/>
                <w:bCs/>
                <w:i/>
                <w:sz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lang w:eastAsia="es-ES"/>
              </w:rPr>
            </w:pPr>
          </w:p>
        </w:tc>
        <w:tc>
          <w:tcPr>
            <w:tcW w:w="4630"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lang w:eastAsia="es-MX"/>
              </w:rPr>
            </w:pPr>
            <w:r w:rsidRPr="00AC2C7E">
              <w:rPr>
                <w:rFonts w:ascii="Cambria" w:eastAsia="Times New Roman" w:hAnsi="Cambria" w:cs="Arial"/>
                <w:i/>
                <w:sz w:val="24"/>
                <w:lang w:eastAsia="es-MX"/>
              </w:rPr>
              <w:t xml:space="preserve">Entregar la planeación didáctica cada dos o tres semanas para el visto bueno del </w:t>
            </w:r>
            <w:r w:rsidRPr="00AC2C7E">
              <w:rPr>
                <w:rFonts w:ascii="Cambria" w:eastAsia="Times New Roman" w:hAnsi="Cambria" w:cs="Arial"/>
                <w:i/>
                <w:sz w:val="24"/>
                <w:lang w:eastAsia="es-MX"/>
              </w:rPr>
              <w:lastRenderedPageBreak/>
              <w:t>Director</w:t>
            </w:r>
          </w:p>
        </w:tc>
        <w:tc>
          <w:tcPr>
            <w:tcW w:w="1842"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lang w:eastAsia="es-MX"/>
              </w:rPr>
            </w:pPr>
            <w:r w:rsidRPr="00AC2C7E">
              <w:rPr>
                <w:rFonts w:ascii="Cambria" w:eastAsia="Times New Roman" w:hAnsi="Cambria" w:cs="Arial"/>
                <w:bCs/>
                <w:i/>
                <w:sz w:val="24"/>
                <w:lang w:eastAsia="es-ES"/>
              </w:rPr>
              <w:lastRenderedPageBreak/>
              <w:t>Cada dos o tres semanas</w:t>
            </w:r>
          </w:p>
        </w:tc>
        <w:tc>
          <w:tcPr>
            <w:tcW w:w="2363" w:type="dxa"/>
            <w:shd w:val="clear" w:color="auto" w:fill="auto"/>
          </w:tcPr>
          <w:p w:rsidR="00AC2C7E" w:rsidRPr="00AC2C7E" w:rsidRDefault="00AC2C7E" w:rsidP="00AC2C7E">
            <w:pPr>
              <w:rPr>
                <w:rFonts w:ascii="Cambria" w:eastAsia="Times New Roman" w:hAnsi="Cambria" w:cs="Times New Roman"/>
                <w:i/>
                <w:sz w:val="24"/>
                <w:lang w:eastAsia="es-ES"/>
              </w:rPr>
            </w:pPr>
            <w:r w:rsidRPr="00AC2C7E">
              <w:rPr>
                <w:rFonts w:ascii="Cambria" w:eastAsia="Times New Roman" w:hAnsi="Cambria" w:cs="Arial"/>
                <w:bCs/>
                <w:i/>
                <w:sz w:val="24"/>
                <w:lang w:eastAsia="es-ES"/>
              </w:rPr>
              <w:t xml:space="preserve">Director y Dimensión Técnico Pedagógica </w:t>
            </w:r>
            <w:r w:rsidRPr="00AC2C7E">
              <w:rPr>
                <w:rFonts w:ascii="Cambria" w:eastAsia="Times New Roman" w:hAnsi="Cambria" w:cs="Arial"/>
                <w:bCs/>
                <w:i/>
                <w:sz w:val="24"/>
                <w:lang w:eastAsia="es-ES"/>
              </w:rPr>
              <w:lastRenderedPageBreak/>
              <w:t>del Consejo Escolar</w:t>
            </w:r>
          </w:p>
        </w:tc>
        <w:tc>
          <w:tcPr>
            <w:tcW w:w="1902" w:type="dxa"/>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lang w:eastAsia="es-MX"/>
              </w:rPr>
            </w:pPr>
            <w:r w:rsidRPr="00AC2C7E">
              <w:rPr>
                <w:rFonts w:ascii="Cambria" w:eastAsia="Times New Roman" w:hAnsi="Cambria" w:cs="Arial"/>
                <w:i/>
                <w:sz w:val="24"/>
                <w:lang w:eastAsia="es-MX"/>
              </w:rPr>
              <w:lastRenderedPageBreak/>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center"/>
              <w:rPr>
                <w:rFonts w:ascii="Cambria" w:eastAsia="Times New Roman" w:hAnsi="Cambria" w:cs="Arial"/>
                <w:bCs/>
                <w:i/>
                <w:sz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i/>
                <w:sz w:val="24"/>
                <w:lang w:eastAsia="es-MX"/>
              </w:rPr>
            </w:pPr>
            <w:r w:rsidRPr="00AC2C7E">
              <w:rPr>
                <w:rFonts w:ascii="Cambria" w:eastAsia="Times New Roman" w:hAnsi="Cambria" w:cs="Arial"/>
                <w:i/>
                <w:sz w:val="24"/>
                <w:lang w:eastAsia="es-MX"/>
              </w:rPr>
              <w:t>Integrar a las planeaciones didácticas los enfoques de las diferentes asignaturas para favorecer el desarrollo de competencias para la vida</w:t>
            </w:r>
          </w:p>
        </w:tc>
        <w:tc>
          <w:tcPr>
            <w:tcW w:w="1842" w:type="dxa"/>
            <w:shd w:val="clear" w:color="auto" w:fill="auto"/>
          </w:tcPr>
          <w:p w:rsidR="00AC2C7E" w:rsidRPr="00AC2C7E" w:rsidRDefault="00AC2C7E" w:rsidP="00AC2C7E">
            <w:pPr>
              <w:spacing w:after="0" w:line="240" w:lineRule="auto"/>
              <w:rPr>
                <w:rFonts w:ascii="Cambria" w:eastAsia="Times New Roman" w:hAnsi="Cambria" w:cs="Arial"/>
                <w:i/>
                <w:sz w:val="24"/>
                <w:lang w:eastAsia="es-MX"/>
              </w:rPr>
            </w:pPr>
            <w:r w:rsidRPr="00AC2C7E">
              <w:rPr>
                <w:rFonts w:ascii="Cambria" w:eastAsia="Times New Roman" w:hAnsi="Cambria" w:cs="Arial"/>
                <w:bCs/>
                <w:i/>
                <w:sz w:val="24"/>
                <w:lang w:eastAsia="es-ES"/>
              </w:rPr>
              <w:t>Cada dos o tres semanas</w:t>
            </w:r>
          </w:p>
        </w:tc>
        <w:tc>
          <w:tcPr>
            <w:tcW w:w="2363" w:type="dxa"/>
            <w:shd w:val="clear" w:color="auto" w:fill="auto"/>
          </w:tcPr>
          <w:p w:rsidR="00AC2C7E" w:rsidRPr="00AC2C7E" w:rsidRDefault="00AC2C7E" w:rsidP="00AC2C7E">
            <w:pPr>
              <w:rPr>
                <w:rFonts w:ascii="Cambria" w:eastAsia="Times New Roman" w:hAnsi="Cambria" w:cs="Times New Roman"/>
                <w:i/>
                <w:sz w:val="24"/>
                <w:lang w:eastAsia="es-ES"/>
              </w:rPr>
            </w:pPr>
            <w:r w:rsidRPr="00AC2C7E">
              <w:rPr>
                <w:rFonts w:ascii="Cambria" w:eastAsia="Times New Roman" w:hAnsi="Cambria" w:cs="Arial"/>
                <w:bCs/>
                <w:i/>
                <w:sz w:val="24"/>
                <w:lang w:eastAsia="es-ES"/>
              </w:rPr>
              <w:t>Director y Dimensión Técnico Pedagógica del Consejo Escolar</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lang w:eastAsia="es-ES"/>
              </w:rPr>
            </w:pPr>
            <w:r w:rsidRPr="00AC2C7E">
              <w:rPr>
                <w:rFonts w:ascii="Cambria" w:eastAsia="Times New Roman" w:hAnsi="Cambria" w:cs="Arial"/>
                <w:bCs/>
                <w:i/>
                <w:sz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center"/>
              <w:rPr>
                <w:rFonts w:ascii="Cambria" w:eastAsia="Times New Roman" w:hAnsi="Cambria" w:cs="Arial"/>
                <w:bCs/>
                <w:i/>
                <w:lang w:eastAsia="es-ES"/>
              </w:rPr>
            </w:pPr>
          </w:p>
        </w:tc>
        <w:tc>
          <w:tcPr>
            <w:tcW w:w="4630" w:type="dxa"/>
            <w:shd w:val="clear" w:color="auto" w:fill="auto"/>
          </w:tcPr>
          <w:p w:rsidR="00AC2C7E" w:rsidRPr="00AC2C7E" w:rsidRDefault="00AC2C7E" w:rsidP="00AC2C7E">
            <w:pPr>
              <w:spacing w:after="0" w:line="240" w:lineRule="auto"/>
              <w:ind w:left="35"/>
              <w:rPr>
                <w:rFonts w:ascii="Cambria" w:eastAsia="Times New Roman" w:hAnsi="Cambria" w:cs="Arial"/>
                <w:i/>
                <w:sz w:val="24"/>
                <w:lang w:eastAsia="es-MX"/>
              </w:rPr>
            </w:pPr>
            <w:r w:rsidRPr="00AC2C7E">
              <w:rPr>
                <w:rFonts w:ascii="Cambria" w:eastAsia="Times New Roman" w:hAnsi="Cambria" w:cs="Arial"/>
                <w:i/>
                <w:sz w:val="24"/>
                <w:lang w:eastAsia="es-MX"/>
              </w:rPr>
              <w:t>Socializar el cómo trabajamos los proyectos en las diferentes asignaturas tomando en cuenta las problemáticas observadas en los grupos.</w:t>
            </w:r>
          </w:p>
          <w:p w:rsidR="00AC2C7E" w:rsidRPr="00AC2C7E" w:rsidRDefault="00AC2C7E" w:rsidP="00AC2C7E">
            <w:pPr>
              <w:spacing w:after="0" w:line="240" w:lineRule="auto"/>
              <w:ind w:left="35"/>
              <w:rPr>
                <w:rFonts w:ascii="Cambria" w:eastAsia="Times New Roman" w:hAnsi="Cambria" w:cs="Arial"/>
                <w:i/>
                <w:sz w:val="24"/>
                <w:lang w:eastAsia="es-MX"/>
              </w:rPr>
            </w:pPr>
          </w:p>
        </w:tc>
        <w:tc>
          <w:tcPr>
            <w:tcW w:w="1842" w:type="dxa"/>
            <w:shd w:val="clear" w:color="auto" w:fill="auto"/>
          </w:tcPr>
          <w:p w:rsidR="00AC2C7E" w:rsidRPr="00AC2C7E" w:rsidRDefault="00AC2C7E" w:rsidP="00AC2C7E">
            <w:pPr>
              <w:spacing w:after="0" w:line="240" w:lineRule="auto"/>
              <w:ind w:left="35"/>
              <w:rPr>
                <w:rFonts w:ascii="Cambria" w:eastAsia="Times New Roman" w:hAnsi="Cambria" w:cs="Arial"/>
                <w:i/>
                <w:sz w:val="24"/>
                <w:lang w:eastAsia="es-MX"/>
              </w:rPr>
            </w:pPr>
            <w:r w:rsidRPr="00AC2C7E">
              <w:rPr>
                <w:rFonts w:ascii="Cambria" w:eastAsia="Times New Roman" w:hAnsi="Cambria" w:cs="Arial"/>
                <w:i/>
                <w:sz w:val="24"/>
                <w:lang w:eastAsia="es-MX"/>
              </w:rPr>
              <w:t xml:space="preserve">Cada mes en la reunión de consejo técnico escolar </w:t>
            </w:r>
          </w:p>
        </w:tc>
        <w:tc>
          <w:tcPr>
            <w:tcW w:w="2363" w:type="dxa"/>
            <w:shd w:val="clear" w:color="auto" w:fill="auto"/>
          </w:tcPr>
          <w:p w:rsidR="00AC2C7E" w:rsidRPr="00AC2C7E" w:rsidRDefault="00AC2C7E" w:rsidP="00AC2C7E">
            <w:pPr>
              <w:rPr>
                <w:rFonts w:ascii="Cambria" w:eastAsia="Times New Roman" w:hAnsi="Cambria" w:cs="Times New Roman"/>
                <w:i/>
                <w:sz w:val="24"/>
                <w:lang w:eastAsia="es-ES"/>
              </w:rPr>
            </w:pPr>
            <w:r w:rsidRPr="00AC2C7E">
              <w:rPr>
                <w:rFonts w:ascii="Cambria" w:eastAsia="Times New Roman" w:hAnsi="Cambria" w:cs="Arial"/>
                <w:bCs/>
                <w:i/>
                <w:sz w:val="24"/>
                <w:lang w:eastAsia="es-ES"/>
              </w:rPr>
              <w:t>Director y Dimensión Técnico Pedagógica del Consejo Escolar</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lang w:eastAsia="es-ES"/>
              </w:rPr>
            </w:pPr>
            <w:r w:rsidRPr="00AC2C7E">
              <w:rPr>
                <w:rFonts w:ascii="Cambria" w:eastAsia="Times New Roman" w:hAnsi="Cambria" w:cs="Arial"/>
                <w:bCs/>
                <w:i/>
                <w:sz w:val="24"/>
                <w:lang w:eastAsia="es-ES"/>
              </w:rPr>
              <w:t>00.00</w:t>
            </w:r>
          </w:p>
        </w:tc>
      </w:tr>
      <w:tr w:rsidR="00AC2C7E" w:rsidRPr="00AC2C7E" w:rsidTr="00673060">
        <w:trPr>
          <w:trHeight w:val="454"/>
        </w:trPr>
        <w:tc>
          <w:tcPr>
            <w:tcW w:w="2572" w:type="dxa"/>
            <w:vMerge w:val="restart"/>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Planear y aplicar 11 estrategias didácticas que favorezcan el desarrollo de competencias para la vida y la formación de valores Ciclo Escolar</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2012</w:t>
            </w:r>
            <w:r w:rsidR="0047074D">
              <w:rPr>
                <w:rFonts w:ascii="Cambria" w:eastAsia="Times New Roman" w:hAnsi="Cambria" w:cs="Arial"/>
                <w:bCs/>
                <w:i/>
                <w:sz w:val="24"/>
                <w:szCs w:val="24"/>
                <w:lang w:eastAsia="es-ES"/>
              </w:rPr>
              <w:t xml:space="preserve"> – </w:t>
            </w:r>
            <w:r w:rsidRPr="00AC2C7E">
              <w:rPr>
                <w:rFonts w:ascii="Cambria" w:eastAsia="Times New Roman" w:hAnsi="Cambria" w:cs="Arial"/>
                <w:bCs/>
                <w:i/>
                <w:sz w:val="24"/>
                <w:szCs w:val="24"/>
                <w:lang w:eastAsia="es-ES"/>
              </w:rPr>
              <w:t>2013</w:t>
            </w:r>
            <w:r w:rsidR="0047074D">
              <w:rPr>
                <w:rFonts w:ascii="Cambria" w:eastAsia="Times New Roman" w:hAnsi="Cambria" w:cs="Arial"/>
                <w:bCs/>
                <w:i/>
                <w:sz w:val="24"/>
                <w:szCs w:val="24"/>
                <w:lang w:eastAsia="es-ES"/>
              </w:rPr>
              <w:t>.</w:t>
            </w: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MX"/>
              </w:rPr>
            </w:pPr>
            <w:r w:rsidRPr="00AC2C7E">
              <w:rPr>
                <w:rFonts w:ascii="Cambria" w:eastAsia="Times New Roman" w:hAnsi="Cambria" w:cs="Arial"/>
                <w:bCs/>
                <w:i/>
                <w:sz w:val="24"/>
                <w:szCs w:val="24"/>
                <w:lang w:eastAsia="es-MX"/>
              </w:rPr>
              <w:t>Participar en la Olimpiada del conocimiento</w:t>
            </w:r>
          </w:p>
        </w:tc>
        <w:tc>
          <w:tcPr>
            <w:tcW w:w="1842"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Marzo-Abril</w:t>
            </w:r>
          </w:p>
        </w:tc>
        <w:tc>
          <w:tcPr>
            <w:tcW w:w="2363" w:type="dxa"/>
            <w:shd w:val="clear" w:color="auto" w:fill="auto"/>
          </w:tcPr>
          <w:p w:rsidR="00AC2C7E" w:rsidRPr="00AC2C7E" w:rsidRDefault="00AC2C7E" w:rsidP="00AC2C7E">
            <w:pPr>
              <w:rPr>
                <w:rFonts w:ascii="Cambria" w:eastAsia="Times New Roman" w:hAnsi="Cambria" w:cs="Times New Roman"/>
                <w:i/>
                <w:sz w:val="24"/>
                <w:szCs w:val="24"/>
                <w:lang w:eastAsia="es-ES"/>
              </w:rPr>
            </w:pPr>
            <w:r w:rsidRPr="00AC2C7E">
              <w:rPr>
                <w:rFonts w:ascii="Cambria" w:eastAsia="Times New Roman" w:hAnsi="Cambria" w:cs="Arial"/>
                <w:bCs/>
                <w:i/>
                <w:sz w:val="24"/>
                <w:szCs w:val="24"/>
                <w:lang w:eastAsia="es-ES"/>
              </w:rPr>
              <w:t>Director y Dimensión Técnico Pedagógica del Consejo Escolar</w:t>
            </w:r>
          </w:p>
        </w:tc>
        <w:tc>
          <w:tcPr>
            <w:tcW w:w="1902" w:type="dxa"/>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Incentivar a los alumnos para que su desempeño académico sea mejor, reconociendo bimestralmente mediante un cuadro de honor y diploma que se entregará en el acto cívico de la semana correspondiente.</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Octubre</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Diciembre</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Febrero</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 xml:space="preserve">Abril </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Junio</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Dimensión Técnico Pedagógica del Consejo Escolar</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Manejar un valor por mes para la formación cívica y ética, ya que es uno de los pilares de la reforma educativa, sustentado en el saber ser, plasmándolo en el periódico mural como referencia para promoverlo en la escuela, aula y padres de familia.</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Mensualmente</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responsable del periódico mural</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Cada primer lunes del mes,  el encargado de guardia mencionará el valor que se esté trabajando para que los alumnos conozcan el significado de cada uno de ellos mediante una pequeña representación y su importancia de ponerlo en práctica.</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 xml:space="preserve"> </w:t>
            </w: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Semanalmente</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maestro responsable del periódico mural.</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El desarrollo lector es un proceso complejo y largo, que requiere ser desarrollado, no solo en la escuela, sino en el hogar por lo cual se implementará la estrategia de registro de lectura en casa. (hoja de lectura en casa)</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Mensualmente</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de la Escuela y Dimensión Técnico Pedagógica.</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Conocer sobre la vida de Hermenegildo Galeana y su participación en la historia de nuestro país conmemorando con un acto cívico su natalicio.</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Abril 13</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coordina Dimensión Organizativa</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Gestionar e informar sobre la atención especializada para los niños con necesidades educativas especiales.</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Cuando se requiera</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coordina Dimensión Pedagógica</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DISCIPLINA:</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Elaboración de reglamento interno de grupo, que permita dar seguimiento mediante un portafolio de disciplina que contenga  formatos  de llamado de atención en caso de que los alumnos incurran en actos contrarios a los valores que tratamos de fomentar.</w:t>
            </w: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Diariamente</w:t>
            </w: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lastRenderedPageBreak/>
              <w:t>Director y Dimensión Técnico Pedagógica del Consejo Escolar</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Implementar un plan de desarrollo lector (biblioteca escolar) para fortalecer las competencias lingüísticas y comunicativas.</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Diariamente</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 xml:space="preserve">Profra. </w:t>
            </w:r>
            <w:proofErr w:type="spellStart"/>
            <w:r w:rsidRPr="00AC2C7E">
              <w:rPr>
                <w:rFonts w:ascii="Cambria" w:eastAsia="Times New Roman" w:hAnsi="Cambria" w:cs="Arial"/>
                <w:bCs/>
                <w:i/>
                <w:sz w:val="24"/>
                <w:szCs w:val="24"/>
                <w:lang w:eastAsia="es-ES"/>
              </w:rPr>
              <w:t>Judy</w:t>
            </w:r>
            <w:proofErr w:type="spellEnd"/>
            <w:r w:rsidRPr="00AC2C7E">
              <w:rPr>
                <w:rFonts w:ascii="Cambria" w:eastAsia="Times New Roman" w:hAnsi="Cambria" w:cs="Arial"/>
                <w:bCs/>
                <w:i/>
                <w:sz w:val="24"/>
                <w:szCs w:val="24"/>
                <w:lang w:eastAsia="es-ES"/>
              </w:rPr>
              <w:t xml:space="preserve"> Ana Tapia Cisneros</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p>
          <w:p w:rsidR="00AC2C7E" w:rsidRPr="00AC2C7E" w:rsidRDefault="00AC2C7E" w:rsidP="00AC2C7E">
            <w:pPr>
              <w:jc w:val="right"/>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Implementar un proyecto de RED ESCOLAR para favorecer el uso de las Tecnologías de la Información y Comunicación.</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rPr>
                <w:rFonts w:ascii="Cambria" w:eastAsia="Times New Roman" w:hAnsi="Cambria" w:cs="Arial"/>
                <w:i/>
                <w:sz w:val="24"/>
                <w:szCs w:val="24"/>
                <w:lang w:eastAsia="es-ES"/>
              </w:rPr>
            </w:pPr>
            <w:r w:rsidRPr="00AC2C7E">
              <w:rPr>
                <w:rFonts w:ascii="Cambria" w:eastAsia="Times New Roman" w:hAnsi="Cambria" w:cs="Arial"/>
                <w:i/>
                <w:sz w:val="24"/>
                <w:szCs w:val="24"/>
                <w:lang w:eastAsia="es-ES"/>
              </w:rPr>
              <w:t>Diariamente</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Profr. Salvador Escobar Cetina</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Viaje de estudio a la Ciudad de México al Castillo de Chapultepec y Pirámides de Teotihuacán para fortalecer los valores cívicos y culturales que permitan reconocer en el alumno su patriotismo.</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Abril 2013</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 xml:space="preserve">Dimensión Técnico Pedagógica del Consejo, Director de la Escuela y Dimensión de Gestión </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3,000.00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jc w:val="both"/>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Apoyar a los docentes con estrategias didácticas que permitan favorecer el aprendizaje constructivista a partir de modelos impresos, por lo cual es necesario adquirir insumos para la fotocopiadora e impresora.</w:t>
            </w:r>
          </w:p>
          <w:p w:rsidR="00AC2C7E" w:rsidRPr="00AC2C7E" w:rsidRDefault="00AC2C7E" w:rsidP="00AC2C7E">
            <w:pPr>
              <w:spacing w:after="0" w:line="240" w:lineRule="auto"/>
              <w:rPr>
                <w:rFonts w:ascii="Cambria" w:eastAsia="Times New Roman" w:hAnsi="Cambria" w:cs="Arial"/>
                <w:bCs/>
                <w:i/>
                <w:sz w:val="24"/>
                <w:szCs w:val="24"/>
                <w:lang w:eastAsia="es-ES"/>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Enero del 2013</w:t>
            </w: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Dimensión Técnica del Consejo y Director de la Escuela</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1,000.00</w:t>
            </w:r>
          </w:p>
        </w:tc>
      </w:tr>
      <w:tr w:rsidR="00AC2C7E" w:rsidRPr="00AC2C7E" w:rsidTr="00673060">
        <w:trPr>
          <w:trHeight w:val="454"/>
        </w:trPr>
        <w:tc>
          <w:tcPr>
            <w:tcW w:w="2572" w:type="dxa"/>
            <w:tcBorders>
              <w:top w:val="nil"/>
            </w:tcBorders>
            <w:shd w:val="clear" w:color="auto" w:fill="auto"/>
          </w:tcPr>
          <w:p w:rsidR="0047074D" w:rsidRDefault="00AC2C7E" w:rsidP="00AC2C7E">
            <w:pPr>
              <w:tabs>
                <w:tab w:val="left" w:pos="873"/>
              </w:tabs>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 xml:space="preserve">Implementar </w:t>
            </w:r>
            <w:r w:rsidRPr="00AC2C7E">
              <w:rPr>
                <w:rFonts w:ascii="Cambria" w:eastAsia="Times New Roman" w:hAnsi="Cambria" w:cs="Arial"/>
                <w:bCs/>
                <w:i/>
                <w:sz w:val="24"/>
                <w:szCs w:val="24"/>
                <w:lang w:eastAsia="es-ES"/>
              </w:rPr>
              <w:tab/>
              <w:t xml:space="preserve">12 docentes una evaluación </w:t>
            </w:r>
            <w:proofErr w:type="spellStart"/>
            <w:r w:rsidRPr="00AC2C7E">
              <w:rPr>
                <w:rFonts w:ascii="Cambria" w:eastAsia="Times New Roman" w:hAnsi="Cambria" w:cs="Arial"/>
                <w:bCs/>
                <w:i/>
                <w:sz w:val="24"/>
                <w:szCs w:val="24"/>
                <w:lang w:eastAsia="es-ES"/>
              </w:rPr>
              <w:t>sumativa</w:t>
            </w:r>
            <w:proofErr w:type="spellEnd"/>
            <w:r w:rsidRPr="00AC2C7E">
              <w:rPr>
                <w:rFonts w:ascii="Cambria" w:eastAsia="Times New Roman" w:hAnsi="Cambria" w:cs="Arial"/>
                <w:bCs/>
                <w:i/>
                <w:sz w:val="24"/>
                <w:szCs w:val="24"/>
                <w:lang w:eastAsia="es-ES"/>
              </w:rPr>
              <w:tab/>
              <w:t xml:space="preserve"> que permita reconsiderar las estrategias para el logro de los aprendizajes esperados </w:t>
            </w:r>
            <w:r w:rsidR="0047074D">
              <w:rPr>
                <w:rFonts w:ascii="Cambria" w:eastAsia="Times New Roman" w:hAnsi="Cambria" w:cs="Arial"/>
                <w:bCs/>
                <w:i/>
                <w:sz w:val="24"/>
                <w:szCs w:val="24"/>
                <w:lang w:eastAsia="es-ES"/>
              </w:rPr>
              <w:lastRenderedPageBreak/>
              <w:t>en el ciclo escolar</w:t>
            </w:r>
          </w:p>
          <w:p w:rsidR="00AC2C7E" w:rsidRPr="00AC2C7E" w:rsidRDefault="00AC2C7E" w:rsidP="00AC2C7E">
            <w:pPr>
              <w:tabs>
                <w:tab w:val="left" w:pos="873"/>
              </w:tabs>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2012</w:t>
            </w:r>
            <w:r w:rsidR="0047074D">
              <w:rPr>
                <w:rFonts w:ascii="Cambria" w:eastAsia="Times New Roman" w:hAnsi="Cambria" w:cs="Arial"/>
                <w:bCs/>
                <w:i/>
                <w:sz w:val="24"/>
                <w:szCs w:val="24"/>
                <w:lang w:eastAsia="es-ES"/>
              </w:rPr>
              <w:t xml:space="preserve"> – </w:t>
            </w:r>
            <w:r w:rsidRPr="00AC2C7E">
              <w:rPr>
                <w:rFonts w:ascii="Cambria" w:eastAsia="Times New Roman" w:hAnsi="Cambria" w:cs="Arial"/>
                <w:bCs/>
                <w:i/>
                <w:sz w:val="24"/>
                <w:szCs w:val="24"/>
                <w:lang w:eastAsia="es-ES"/>
              </w:rPr>
              <w:t>2013</w:t>
            </w:r>
            <w:r w:rsidR="0047074D">
              <w:rPr>
                <w:rFonts w:ascii="Cambria" w:eastAsia="Times New Roman" w:hAnsi="Cambria" w:cs="Arial"/>
                <w:bCs/>
                <w:i/>
                <w:sz w:val="24"/>
                <w:szCs w:val="24"/>
                <w:lang w:eastAsia="es-ES"/>
              </w:rPr>
              <w:t>.</w:t>
            </w:r>
          </w:p>
          <w:p w:rsidR="00AC2C7E" w:rsidRPr="00AC2C7E" w:rsidRDefault="00AC2C7E" w:rsidP="00AC2C7E">
            <w:pPr>
              <w:tabs>
                <w:tab w:val="left" w:pos="873"/>
              </w:tabs>
              <w:spacing w:after="0" w:line="240" w:lineRule="auto"/>
              <w:rPr>
                <w:rFonts w:ascii="Cambria" w:eastAsia="Times New Roman" w:hAnsi="Cambria" w:cs="Arial"/>
                <w:bCs/>
                <w:i/>
                <w:sz w:val="24"/>
                <w:szCs w:val="24"/>
                <w:lang w:eastAsia="es-ES"/>
              </w:rPr>
            </w:pPr>
          </w:p>
        </w:tc>
        <w:tc>
          <w:tcPr>
            <w:tcW w:w="4630"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lastRenderedPageBreak/>
              <w:t xml:space="preserve">Desarrollar una evaluación formativa y </w:t>
            </w:r>
            <w:proofErr w:type="spellStart"/>
            <w:r w:rsidRPr="00AC2C7E">
              <w:rPr>
                <w:rFonts w:ascii="Cambria" w:eastAsia="Times New Roman" w:hAnsi="Cambria" w:cs="Arial"/>
                <w:i/>
                <w:sz w:val="24"/>
                <w:szCs w:val="24"/>
                <w:lang w:eastAsia="es-MX"/>
              </w:rPr>
              <w:t>sumativa</w:t>
            </w:r>
            <w:proofErr w:type="spellEnd"/>
            <w:r w:rsidRPr="00AC2C7E">
              <w:rPr>
                <w:rFonts w:ascii="Cambria" w:eastAsia="Times New Roman" w:hAnsi="Cambria" w:cs="Arial"/>
                <w:i/>
                <w:sz w:val="24"/>
                <w:szCs w:val="24"/>
                <w:lang w:eastAsia="es-MX"/>
              </w:rPr>
              <w:t xml:space="preserve"> mediante el registro sistemático de los avances en los aprendizajes esperados que adquieran los alumnos: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Registro en bitácoras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Portafolios de los alumnos,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Rúbricas,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Cartilla de evaluación de educación básica.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2363" w:type="dxa"/>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Director y maestros frente a grupo</w:t>
            </w:r>
          </w:p>
        </w:tc>
        <w:tc>
          <w:tcPr>
            <w:tcW w:w="1902" w:type="dxa"/>
            <w:shd w:val="clear" w:color="auto" w:fill="auto"/>
          </w:tcPr>
          <w:p w:rsidR="00AC2C7E" w:rsidRPr="00AC2C7E" w:rsidRDefault="00AC2C7E" w:rsidP="00AC2C7E">
            <w:pPr>
              <w:spacing w:after="0" w:line="240" w:lineRule="auto"/>
              <w:jc w:val="right"/>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00.00</w:t>
            </w:r>
          </w:p>
        </w:tc>
      </w:tr>
      <w:tr w:rsidR="00AC2C7E" w:rsidRPr="00AC2C7E" w:rsidTr="00673060">
        <w:trPr>
          <w:trHeight w:val="454"/>
        </w:trPr>
        <w:tc>
          <w:tcPr>
            <w:tcW w:w="2572" w:type="dxa"/>
            <w:shd w:val="clear" w:color="auto" w:fill="auto"/>
          </w:tcPr>
          <w:p w:rsidR="00AC2C7E" w:rsidRPr="00AC2C7E" w:rsidRDefault="00AC2C7E" w:rsidP="00AC2C7E">
            <w:pPr>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lastRenderedPageBreak/>
              <w:t>Planear y desarrollar</w:t>
            </w:r>
            <w:r w:rsidRPr="00AC2C7E">
              <w:rPr>
                <w:rFonts w:ascii="Cambria" w:eastAsia="Times New Roman" w:hAnsi="Cambria" w:cs="Arial"/>
                <w:i/>
                <w:sz w:val="24"/>
                <w:szCs w:val="24"/>
                <w:lang w:eastAsia="es-MX"/>
              </w:rPr>
              <w:tab/>
              <w:t xml:space="preserve"> 4 campos de educación artística para fortalecer la formación integral de los alumnos relacionarse</w:t>
            </w:r>
            <w:r w:rsidR="0047074D">
              <w:rPr>
                <w:rFonts w:ascii="Cambria" w:eastAsia="Times New Roman" w:hAnsi="Cambria" w:cs="Arial"/>
                <w:i/>
                <w:sz w:val="24"/>
                <w:szCs w:val="24"/>
                <w:lang w:eastAsia="es-MX"/>
              </w:rPr>
              <w:t xml:space="preserve"> </w:t>
            </w:r>
            <w:r w:rsidRPr="00AC2C7E">
              <w:rPr>
                <w:rFonts w:ascii="Cambria" w:eastAsia="Times New Roman" w:hAnsi="Cambria" w:cs="Arial"/>
                <w:i/>
                <w:sz w:val="24"/>
                <w:szCs w:val="24"/>
                <w:lang w:eastAsia="es-MX"/>
              </w:rPr>
              <w:t>armónicamente con otros y la naturaleza; ser asertivo; trabajar de manera colaborativa;</w:t>
            </w:r>
            <w:r w:rsidR="0047074D">
              <w:rPr>
                <w:rFonts w:ascii="Cambria" w:eastAsia="Times New Roman" w:hAnsi="Cambria" w:cs="Arial"/>
                <w:i/>
                <w:sz w:val="24"/>
                <w:szCs w:val="24"/>
                <w:lang w:eastAsia="es-MX"/>
              </w:rPr>
              <w:t xml:space="preserve"> </w:t>
            </w:r>
            <w:r w:rsidRPr="00AC2C7E">
              <w:rPr>
                <w:rFonts w:ascii="Cambria" w:eastAsia="Times New Roman" w:hAnsi="Cambria" w:cs="Arial"/>
                <w:i/>
                <w:sz w:val="24"/>
                <w:szCs w:val="24"/>
                <w:lang w:eastAsia="es-MX"/>
              </w:rPr>
              <w:t>tomar acuerdos y negociar con otros; crecer con los demás; reconocer y valorar la diversidad social, cultural y lingüística, en el Ciclo Escolar 2012</w:t>
            </w:r>
            <w:r w:rsidR="0047074D">
              <w:rPr>
                <w:rFonts w:ascii="Cambria" w:eastAsia="Times New Roman" w:hAnsi="Cambria" w:cs="Arial"/>
                <w:i/>
                <w:sz w:val="24"/>
                <w:szCs w:val="24"/>
                <w:lang w:eastAsia="es-MX"/>
              </w:rPr>
              <w:t xml:space="preserve"> – </w:t>
            </w:r>
            <w:r w:rsidRPr="00AC2C7E">
              <w:rPr>
                <w:rFonts w:ascii="Cambria" w:eastAsia="Times New Roman" w:hAnsi="Cambria" w:cs="Arial"/>
                <w:i/>
                <w:sz w:val="24"/>
                <w:szCs w:val="24"/>
                <w:lang w:eastAsia="es-MX"/>
              </w:rPr>
              <w:t>2013</w:t>
            </w:r>
            <w:r w:rsidR="0047074D">
              <w:rPr>
                <w:rFonts w:ascii="Cambria" w:eastAsia="Times New Roman" w:hAnsi="Cambria" w:cs="Arial"/>
                <w:i/>
                <w:sz w:val="24"/>
                <w:szCs w:val="24"/>
                <w:lang w:eastAsia="es-MX"/>
              </w:rPr>
              <w:t>.</w:t>
            </w:r>
          </w:p>
          <w:p w:rsidR="00AC2C7E" w:rsidRPr="00AC2C7E" w:rsidRDefault="00AC2C7E" w:rsidP="00AC2C7E">
            <w:pPr>
              <w:rPr>
                <w:rFonts w:ascii="Cambria" w:eastAsia="Times New Roman" w:hAnsi="Cambria" w:cs="Arial"/>
                <w:i/>
                <w:sz w:val="24"/>
                <w:szCs w:val="24"/>
                <w:lang w:eastAsia="es-MX"/>
              </w:rPr>
            </w:pPr>
          </w:p>
        </w:tc>
        <w:tc>
          <w:tcPr>
            <w:tcW w:w="4630"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Desarrollar la formación artística a partir de la implementación de talleres:</w:t>
            </w:r>
          </w:p>
          <w:p w:rsidR="00AC2C7E" w:rsidRPr="00AC2C7E" w:rsidRDefault="00AC2C7E" w:rsidP="00AC2C7E">
            <w:pPr>
              <w:numPr>
                <w:ilvl w:val="0"/>
                <w:numId w:val="3"/>
              </w:num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Música-canto</w:t>
            </w:r>
          </w:p>
          <w:p w:rsidR="00AC2C7E" w:rsidRPr="00AC2C7E" w:rsidRDefault="00AC2C7E" w:rsidP="00AC2C7E">
            <w:pPr>
              <w:numPr>
                <w:ilvl w:val="0"/>
                <w:numId w:val="3"/>
              </w:num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Artes plásticas</w:t>
            </w:r>
          </w:p>
          <w:p w:rsidR="00AC2C7E" w:rsidRPr="00AC2C7E" w:rsidRDefault="00AC2C7E" w:rsidP="00AC2C7E">
            <w:pPr>
              <w:numPr>
                <w:ilvl w:val="0"/>
                <w:numId w:val="3"/>
              </w:num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Danza</w:t>
            </w:r>
          </w:p>
          <w:p w:rsidR="00AC2C7E" w:rsidRPr="00AC2C7E" w:rsidRDefault="00AC2C7E" w:rsidP="00AC2C7E">
            <w:pPr>
              <w:numPr>
                <w:ilvl w:val="0"/>
                <w:numId w:val="3"/>
              </w:num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Teatro</w:t>
            </w:r>
          </w:p>
        </w:tc>
        <w:tc>
          <w:tcPr>
            <w:tcW w:w="1842" w:type="dxa"/>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Quincenalmente</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Los días miércoles</w:t>
            </w:r>
          </w:p>
        </w:tc>
        <w:tc>
          <w:tcPr>
            <w:tcW w:w="2363" w:type="dxa"/>
            <w:shd w:val="clear" w:color="auto" w:fill="auto"/>
          </w:tcPr>
          <w:p w:rsidR="00AC2C7E" w:rsidRPr="00AC2C7E" w:rsidRDefault="00AC2C7E" w:rsidP="00AC2C7E">
            <w:pPr>
              <w:numPr>
                <w:ilvl w:val="0"/>
                <w:numId w:val="3"/>
              </w:numPr>
              <w:tabs>
                <w:tab w:val="left" w:pos="873"/>
              </w:tabs>
              <w:spacing w:after="0" w:line="240" w:lineRule="auto"/>
              <w:rPr>
                <w:rFonts w:ascii="Cambria" w:eastAsia="Times New Roman" w:hAnsi="Cambria" w:cs="Arial"/>
                <w:b/>
                <w:i/>
                <w:sz w:val="24"/>
                <w:szCs w:val="24"/>
                <w:lang w:eastAsia="es-MX"/>
              </w:rPr>
            </w:pPr>
            <w:r w:rsidRPr="00AC2C7E">
              <w:rPr>
                <w:rFonts w:ascii="Cambria" w:eastAsia="Times New Roman" w:hAnsi="Cambria" w:cs="Arial"/>
                <w:b/>
                <w:i/>
                <w:sz w:val="24"/>
                <w:szCs w:val="24"/>
                <w:lang w:eastAsia="es-MX"/>
              </w:rPr>
              <w:t>MÚSICA-CANTO</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Fernando González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Salvador Herrera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Profra. </w:t>
            </w:r>
            <w:proofErr w:type="spellStart"/>
            <w:r w:rsidRPr="00AC2C7E">
              <w:rPr>
                <w:rFonts w:ascii="Cambria" w:eastAsia="Times New Roman" w:hAnsi="Cambria" w:cs="Arial"/>
                <w:i/>
                <w:sz w:val="24"/>
                <w:szCs w:val="24"/>
                <w:lang w:eastAsia="es-MX"/>
              </w:rPr>
              <w:t>Judy</w:t>
            </w:r>
            <w:proofErr w:type="spellEnd"/>
            <w:r w:rsidRPr="00AC2C7E">
              <w:rPr>
                <w:rFonts w:ascii="Cambria" w:eastAsia="Times New Roman" w:hAnsi="Cambria" w:cs="Arial"/>
                <w:i/>
                <w:sz w:val="24"/>
                <w:szCs w:val="24"/>
                <w:lang w:eastAsia="es-MX"/>
              </w:rPr>
              <w:t xml:space="preserve"> Ana Tapia</w:t>
            </w:r>
          </w:p>
          <w:p w:rsidR="00AC2C7E" w:rsidRPr="00AC2C7E" w:rsidRDefault="00AC2C7E" w:rsidP="00AC2C7E">
            <w:pPr>
              <w:numPr>
                <w:ilvl w:val="0"/>
                <w:numId w:val="3"/>
              </w:numPr>
              <w:tabs>
                <w:tab w:val="left" w:pos="873"/>
              </w:tabs>
              <w:spacing w:after="0" w:line="240" w:lineRule="auto"/>
              <w:rPr>
                <w:rFonts w:ascii="Cambria" w:eastAsia="Times New Roman" w:hAnsi="Cambria" w:cs="Arial"/>
                <w:b/>
                <w:i/>
                <w:sz w:val="24"/>
                <w:szCs w:val="24"/>
                <w:lang w:eastAsia="es-MX"/>
              </w:rPr>
            </w:pPr>
            <w:r w:rsidRPr="00AC2C7E">
              <w:rPr>
                <w:rFonts w:ascii="Cambria" w:eastAsia="Times New Roman" w:hAnsi="Cambria" w:cs="Arial"/>
                <w:b/>
                <w:i/>
                <w:sz w:val="24"/>
                <w:szCs w:val="24"/>
                <w:lang w:eastAsia="es-MX"/>
              </w:rPr>
              <w:t>ARTES PLÁSTICAS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Profra. Ma. Socorro Villa </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Esperanza Hernández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Dora Alicia Ceballos</w:t>
            </w:r>
          </w:p>
          <w:p w:rsidR="00AC2C7E" w:rsidRPr="00AC2C7E" w:rsidRDefault="00AC2C7E" w:rsidP="00AC2C7E">
            <w:pPr>
              <w:numPr>
                <w:ilvl w:val="0"/>
                <w:numId w:val="3"/>
              </w:numPr>
              <w:tabs>
                <w:tab w:val="left" w:pos="873"/>
              </w:tabs>
              <w:spacing w:after="0" w:line="240" w:lineRule="auto"/>
              <w:rPr>
                <w:rFonts w:ascii="Cambria" w:eastAsia="Times New Roman" w:hAnsi="Cambria" w:cs="Arial"/>
                <w:b/>
                <w:i/>
                <w:sz w:val="24"/>
                <w:szCs w:val="24"/>
                <w:lang w:eastAsia="es-MX"/>
              </w:rPr>
            </w:pPr>
            <w:r w:rsidRPr="00AC2C7E">
              <w:rPr>
                <w:rFonts w:ascii="Cambria" w:eastAsia="Times New Roman" w:hAnsi="Cambria" w:cs="Arial"/>
                <w:b/>
                <w:i/>
                <w:sz w:val="24"/>
                <w:szCs w:val="24"/>
                <w:lang w:eastAsia="es-MX"/>
              </w:rPr>
              <w:t>DANZA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Areli Cruz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Alfredo Gómez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María Inés Salinas.</w:t>
            </w:r>
          </w:p>
          <w:p w:rsidR="00AC2C7E" w:rsidRPr="00AC2C7E" w:rsidRDefault="00AC2C7E" w:rsidP="00AC2C7E">
            <w:pPr>
              <w:numPr>
                <w:ilvl w:val="0"/>
                <w:numId w:val="3"/>
              </w:numPr>
              <w:tabs>
                <w:tab w:val="left" w:pos="873"/>
              </w:tabs>
              <w:spacing w:after="0" w:line="240" w:lineRule="auto"/>
              <w:rPr>
                <w:rFonts w:ascii="Cambria" w:eastAsia="Times New Roman" w:hAnsi="Cambria" w:cs="Arial"/>
                <w:b/>
                <w:i/>
                <w:sz w:val="24"/>
                <w:szCs w:val="24"/>
                <w:lang w:eastAsia="es-MX"/>
              </w:rPr>
            </w:pPr>
            <w:r w:rsidRPr="00AC2C7E">
              <w:rPr>
                <w:rFonts w:ascii="Cambria" w:eastAsia="Times New Roman" w:hAnsi="Cambria" w:cs="Arial"/>
                <w:b/>
                <w:i/>
                <w:sz w:val="24"/>
                <w:szCs w:val="24"/>
                <w:lang w:eastAsia="es-MX"/>
              </w:rPr>
              <w:t>TEATRO</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Profra. Antonia Bello </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Martha Violeta Ibarra.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Salvador Vázquez.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902" w:type="dxa"/>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val="restart"/>
            <w:shd w:val="clear" w:color="auto" w:fill="auto"/>
          </w:tcPr>
          <w:p w:rsidR="0047074D"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lastRenderedPageBreak/>
              <w:t>Desarrollar 5 temas formativos que favorezcan las competencias profesionales e impacten en la mejora de los niveles de apro</w:t>
            </w:r>
            <w:r w:rsidR="0047074D">
              <w:rPr>
                <w:rFonts w:ascii="Cambria" w:eastAsia="Times New Roman" w:hAnsi="Cambria" w:cs="Arial"/>
                <w:bCs/>
                <w:i/>
                <w:sz w:val="24"/>
                <w:szCs w:val="24"/>
                <w:lang w:eastAsia="es-ES"/>
              </w:rPr>
              <w:t>vechamiento en el Ciclo Escolar</w:t>
            </w:r>
          </w:p>
          <w:p w:rsidR="00AC2C7E" w:rsidRPr="00AC2C7E" w:rsidRDefault="00AC2C7E" w:rsidP="00AC2C7E">
            <w:pPr>
              <w:spacing w:after="0" w:line="240" w:lineRule="auto"/>
              <w:rPr>
                <w:rFonts w:ascii="Cambria" w:eastAsia="Times New Roman" w:hAnsi="Cambria" w:cs="Arial"/>
                <w:bCs/>
                <w:i/>
                <w:sz w:val="24"/>
                <w:szCs w:val="24"/>
                <w:lang w:eastAsia="es-ES"/>
              </w:rPr>
            </w:pPr>
            <w:r w:rsidRPr="00AC2C7E">
              <w:rPr>
                <w:rFonts w:ascii="Cambria" w:eastAsia="Times New Roman" w:hAnsi="Cambria" w:cs="Arial"/>
                <w:bCs/>
                <w:i/>
                <w:sz w:val="24"/>
                <w:szCs w:val="24"/>
                <w:lang w:eastAsia="es-ES"/>
              </w:rPr>
              <w:t>2012</w:t>
            </w:r>
            <w:r w:rsidR="0047074D">
              <w:rPr>
                <w:rFonts w:ascii="Cambria" w:eastAsia="Times New Roman" w:hAnsi="Cambria" w:cs="Arial"/>
                <w:bCs/>
                <w:i/>
                <w:sz w:val="24"/>
                <w:szCs w:val="24"/>
                <w:lang w:eastAsia="es-ES"/>
              </w:rPr>
              <w:t xml:space="preserve"> – </w:t>
            </w:r>
            <w:r w:rsidRPr="00AC2C7E">
              <w:rPr>
                <w:rFonts w:ascii="Cambria" w:eastAsia="Times New Roman" w:hAnsi="Cambria" w:cs="Arial"/>
                <w:bCs/>
                <w:i/>
                <w:sz w:val="24"/>
                <w:szCs w:val="24"/>
                <w:lang w:eastAsia="es-ES"/>
              </w:rPr>
              <w:t>2013</w:t>
            </w:r>
            <w:r w:rsidR="0047074D">
              <w:rPr>
                <w:rFonts w:ascii="Cambria" w:eastAsia="Times New Roman" w:hAnsi="Cambria" w:cs="Arial"/>
                <w:bCs/>
                <w:i/>
                <w:sz w:val="24"/>
                <w:szCs w:val="24"/>
                <w:lang w:eastAsia="es-ES"/>
              </w:rPr>
              <w:t>.</w:t>
            </w: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Taller sobre evaluación de la competencia lectora.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Septiembre 2012</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Dimensión pedagógica</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Capacitación y actualización del acuerdo de evaluación 648.</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Octubre 2012</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José Guadalupe López Benítez</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Curso de desarrollo de talentos para la vida:</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Biotécnica y desarrollo humano</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Educación sexual integral</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Prevención de las adicciones</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Bulín</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Depende calendario del departamento</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 Salvador Vázquez Hernández</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Integrantes de la dimensión pedagógica</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Capacitación a docentes de primer año para consolidar los procesos de la enseñanza de la </w:t>
            </w:r>
            <w:proofErr w:type="spellStart"/>
            <w:r w:rsidRPr="00AC2C7E">
              <w:rPr>
                <w:rFonts w:ascii="Cambria" w:eastAsia="Times New Roman" w:hAnsi="Cambria" w:cs="Arial"/>
                <w:i/>
                <w:sz w:val="24"/>
                <w:szCs w:val="24"/>
                <w:lang w:eastAsia="es-MX"/>
              </w:rPr>
              <w:t>lecto</w:t>
            </w:r>
            <w:proofErr w:type="spellEnd"/>
            <w:r w:rsidRPr="00AC2C7E">
              <w:rPr>
                <w:rFonts w:ascii="Cambria" w:eastAsia="Times New Roman" w:hAnsi="Cambria" w:cs="Arial"/>
                <w:i/>
                <w:sz w:val="24"/>
                <w:szCs w:val="24"/>
                <w:lang w:eastAsia="es-MX"/>
              </w:rPr>
              <w:t>-escritura.</w:t>
            </w: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Mensualmente</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Profra. Edith Cázares Sánchez </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Profra. Dominga Arias López</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Capacitación a colectivos de atención a programas compensatorios en el rescate a mejorar los niveles de aprovechamiento.</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Mensualmente</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Docentes incentivados</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00.00</w:t>
            </w:r>
          </w:p>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 xml:space="preserve">Curso/Taller con temáticas que favorezcan el desarrollo de competencias profesionales. </w:t>
            </w: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A consideración de fechas programadas en el IPN</w:t>
            </w:r>
          </w:p>
          <w:p w:rsidR="0047074D" w:rsidRPr="00AC2C7E" w:rsidRDefault="0047074D" w:rsidP="00AC2C7E">
            <w:pPr>
              <w:tabs>
                <w:tab w:val="left" w:pos="873"/>
              </w:tabs>
              <w:spacing w:after="0" w:line="240" w:lineRule="auto"/>
              <w:rPr>
                <w:rFonts w:ascii="Cambria" w:eastAsia="Times New Roman" w:hAnsi="Cambria" w:cs="Arial"/>
                <w:i/>
                <w:sz w:val="24"/>
                <w:szCs w:val="24"/>
                <w:lang w:eastAsia="es-MX"/>
              </w:rPr>
            </w:pP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IPN</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2,000.00</w:t>
            </w:r>
          </w:p>
        </w:tc>
      </w:tr>
      <w:tr w:rsidR="00AC2C7E" w:rsidRPr="00AC2C7E" w:rsidTr="00673060">
        <w:trPr>
          <w:trHeight w:val="454"/>
        </w:trPr>
        <w:tc>
          <w:tcPr>
            <w:tcW w:w="2572" w:type="dxa"/>
            <w:vMerge/>
            <w:shd w:val="clear" w:color="auto" w:fill="auto"/>
          </w:tcPr>
          <w:p w:rsidR="00AC2C7E" w:rsidRPr="00AC2C7E" w:rsidRDefault="00AC2C7E" w:rsidP="00AC2C7E">
            <w:pPr>
              <w:spacing w:after="0" w:line="240" w:lineRule="auto"/>
              <w:rPr>
                <w:rFonts w:ascii="Cambria" w:eastAsia="Times New Roman" w:hAnsi="Cambria" w:cs="Arial"/>
                <w:bCs/>
                <w:i/>
                <w:sz w:val="24"/>
                <w:szCs w:val="24"/>
                <w:lang w:eastAsia="es-ES"/>
              </w:rPr>
            </w:pPr>
          </w:p>
        </w:tc>
        <w:tc>
          <w:tcPr>
            <w:tcW w:w="4630"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Encuentro regional de Directivos para apoyar la implementación del modelo de gestión.</w:t>
            </w:r>
          </w:p>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p>
        </w:tc>
        <w:tc>
          <w:tcPr>
            <w:tcW w:w="184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A consideración del PEC</w:t>
            </w:r>
          </w:p>
        </w:tc>
        <w:tc>
          <w:tcPr>
            <w:tcW w:w="2363"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PEC</w:t>
            </w:r>
          </w:p>
        </w:tc>
        <w:tc>
          <w:tcPr>
            <w:tcW w:w="1902" w:type="dxa"/>
            <w:tcBorders>
              <w:top w:val="single" w:sz="6" w:space="0" w:color="000080"/>
              <w:left w:val="single" w:sz="6" w:space="0" w:color="000080"/>
              <w:bottom w:val="single" w:sz="6" w:space="0" w:color="000080"/>
              <w:right w:val="single" w:sz="6" w:space="0" w:color="000080"/>
            </w:tcBorders>
            <w:shd w:val="clear" w:color="auto" w:fill="auto"/>
          </w:tcPr>
          <w:p w:rsidR="00AC2C7E" w:rsidRPr="00AC2C7E" w:rsidRDefault="00AC2C7E" w:rsidP="00AC2C7E">
            <w:pPr>
              <w:tabs>
                <w:tab w:val="left" w:pos="873"/>
              </w:tabs>
              <w:spacing w:after="0" w:line="240" w:lineRule="auto"/>
              <w:jc w:val="right"/>
              <w:rPr>
                <w:rFonts w:ascii="Cambria" w:eastAsia="Times New Roman" w:hAnsi="Cambria" w:cs="Arial"/>
                <w:i/>
                <w:sz w:val="24"/>
                <w:szCs w:val="24"/>
                <w:lang w:eastAsia="es-MX"/>
              </w:rPr>
            </w:pPr>
            <w:r w:rsidRPr="00AC2C7E">
              <w:rPr>
                <w:rFonts w:ascii="Cambria" w:eastAsia="Times New Roman" w:hAnsi="Cambria" w:cs="Arial"/>
                <w:i/>
                <w:sz w:val="24"/>
                <w:szCs w:val="24"/>
                <w:lang w:eastAsia="es-MX"/>
              </w:rPr>
              <w:t>2,000.00</w:t>
            </w:r>
          </w:p>
        </w:tc>
      </w:tr>
      <w:bookmarkEnd w:id="0"/>
    </w:tbl>
    <w:p w:rsidR="00AC2C7E" w:rsidRDefault="00AC2C7E" w:rsidP="00ED1D01">
      <w:pPr>
        <w:tabs>
          <w:tab w:val="left" w:pos="2880"/>
        </w:tabs>
        <w:spacing w:after="0" w:line="240" w:lineRule="auto"/>
        <w:jc w:val="both"/>
        <w:rPr>
          <w:rFonts w:ascii="Cambria" w:eastAsia="Times New Roman" w:hAnsi="Cambria" w:cs="Times New Roman"/>
          <w:sz w:val="44"/>
          <w:szCs w:val="44"/>
          <w:lang w:val="es-ES_tradnl" w:eastAsia="es-ES"/>
        </w:rPr>
      </w:pPr>
    </w:p>
    <w:sectPr w:rsidR="00AC2C7E" w:rsidSect="00ED1D0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A46CB"/>
    <w:multiLevelType w:val="hybridMultilevel"/>
    <w:tmpl w:val="5302C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6C45F21"/>
    <w:multiLevelType w:val="hybridMultilevel"/>
    <w:tmpl w:val="7E52A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722C9A"/>
    <w:multiLevelType w:val="hybridMultilevel"/>
    <w:tmpl w:val="D9344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01"/>
    <w:rsid w:val="00385CBE"/>
    <w:rsid w:val="0047074D"/>
    <w:rsid w:val="009B3524"/>
    <w:rsid w:val="00AC2C7E"/>
    <w:rsid w:val="00ED1D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1177</Words>
  <Characters>6476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Guadalupe</dc:creator>
  <cp:lastModifiedBy>paticular</cp:lastModifiedBy>
  <cp:revision>5</cp:revision>
  <dcterms:created xsi:type="dcterms:W3CDTF">2013-04-15T01:46:00Z</dcterms:created>
  <dcterms:modified xsi:type="dcterms:W3CDTF">2013-04-15T13:35:00Z</dcterms:modified>
</cp:coreProperties>
</file>